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D9265A" w14:paraId="08C22D9F" w14:textId="65493E72">
      <w:r>
        <w:fldChar w:fldCharType="begin"/>
      </w:r>
      <w:r>
        <w:instrText>HYPERLINK "</w:instrText>
      </w:r>
      <w:r w:rsidRPr="00D9265A">
        <w:instrText>https://www.centurylink.com/wholesale/pcat/hivoltprotect.html</w:instrText>
      </w:r>
      <w:r>
        <w:instrText>"</w:instrText>
      </w:r>
      <w:r>
        <w:fldChar w:fldCharType="separate"/>
      </w:r>
      <w:r w:rsidRPr="002707CE">
        <w:rPr>
          <w:rStyle w:val="Hyperlink"/>
        </w:rPr>
        <w:t>https://www.centurylink.com/wholesale/pcat/hivoltprotect.html</w:t>
      </w:r>
      <w:r>
        <w:fldChar w:fldCharType="end"/>
      </w:r>
    </w:p>
    <w:p w:rsidR="00D9265A" w:rsidP="00D9265A" w:rsidRDefault="00D9265A" w14:paraId="2D54E0BB"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High Voltage Protection - V8.0</w:t>
      </w:r>
    </w:p>
    <w:p w:rsidR="00D9265A" w:rsidP="00D9265A" w:rsidRDefault="00D9265A" w14:paraId="2C3E21E1" w14:textId="3DC27A1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51C27D7C" wp14:editId="51E0F276">
            <wp:extent cx="1192530" cy="328295"/>
            <wp:effectExtent l="0" t="0" r="7620" b="0"/>
            <wp:docPr id="11716953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00AB3C54" w:rsidP="00D9265A" w:rsidRDefault="00AB3C54" w14:paraId="1C4134E2" w14:textId="77777777">
      <w:pPr>
        <w:pStyle w:val="NormalWeb"/>
        <w:shd w:val="clear" w:color="auto" w:fill="FFFFFF"/>
        <w:spacing w:before="0" w:beforeAutospacing="0" w:after="0" w:afterAutospacing="0"/>
        <w:rPr>
          <w:rFonts w:ascii="Arial" w:hAnsi="Arial" w:cs="Arial"/>
          <w:color w:val="000000"/>
          <w:sz w:val="20"/>
          <w:szCs w:val="20"/>
        </w:rPr>
      </w:pPr>
    </w:p>
    <w:p w:rsidR="00D9265A" w:rsidP="00D9265A" w:rsidRDefault="00D9265A" w14:paraId="66A67433" w14:textId="77777777">
      <w:pPr>
        <w:pStyle w:val="Heading3"/>
        <w:shd w:val="clear" w:color="auto" w:fill="FFFFFF"/>
        <w:spacing w:before="0" w:beforeAutospacing="0" w:after="0"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D9265A" w:rsidP="5B034611" w:rsidRDefault="00D9265A" w14:paraId="1AC4C2F6"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Jo86jJtD" w:id="2067608391"/>
      <w:r w:rsidRPr="5B034611" w:rsidR="00D9265A">
        <w:rPr>
          <w:rFonts w:ascii="Arial" w:hAnsi="Arial" w:cs="Arial"/>
          <w:color w:val="000000" w:themeColor="text1" w:themeTint="FF" w:themeShade="FF"/>
          <w:sz w:val="20"/>
          <w:szCs w:val="20"/>
        </w:rPr>
        <w:t>All CenturyLink services that extend to designated high voltage (HV) environments are required to have high voltage protection (HVP).</w:t>
      </w:r>
      <w:bookmarkEnd w:id="2067608391"/>
      <w:r w:rsidRPr="5B034611" w:rsidR="00D9265A">
        <w:rPr>
          <w:rFonts w:ascii="Arial" w:hAnsi="Arial" w:cs="Arial"/>
          <w:color w:val="000000" w:themeColor="text1" w:themeTint="FF" w:themeShade="FF"/>
          <w:sz w:val="20"/>
          <w:szCs w:val="20"/>
        </w:rPr>
        <w:t xml:space="preserve"> HVP devices may be provided by you, the end-user, or may be requested from CenturyLink.</w:t>
      </w:r>
    </w:p>
    <w:p w:rsidR="00D9265A" w:rsidP="00D9265A" w:rsidRDefault="00D9265A" w14:paraId="0978299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High Voltage Protection (HVP) is intended to:</w:t>
      </w:r>
    </w:p>
    <w:p w:rsidR="00D9265A" w:rsidP="00D9265A" w:rsidRDefault="00D9265A" w14:paraId="61DF5D1E"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Minimize electrical hazards to personnel engaged in construction, operation, maintenance and use of telecommunications </w:t>
      </w:r>
      <w:proofErr w:type="gramStart"/>
      <w:r>
        <w:rPr>
          <w:rFonts w:ascii="Arial" w:hAnsi="Arial" w:cs="Arial"/>
          <w:color w:val="000000"/>
          <w:sz w:val="20"/>
          <w:szCs w:val="20"/>
        </w:rPr>
        <w:t>service</w:t>
      </w:r>
      <w:proofErr w:type="gramEnd"/>
    </w:p>
    <w:p w:rsidR="00D9265A" w:rsidP="00D9265A" w:rsidRDefault="00D9265A" w14:paraId="51041FA4"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Limit electrical damage to telecommunications equipment, cable and wire facilities, and customer </w:t>
      </w:r>
      <w:proofErr w:type="gramStart"/>
      <w:r>
        <w:rPr>
          <w:rFonts w:ascii="Arial" w:hAnsi="Arial" w:cs="Arial"/>
          <w:color w:val="000000"/>
          <w:sz w:val="20"/>
          <w:szCs w:val="20"/>
        </w:rPr>
        <w:t>equipment</w:t>
      </w:r>
      <w:proofErr w:type="gramEnd"/>
    </w:p>
    <w:p w:rsidR="00D9265A" w:rsidP="00D9265A" w:rsidRDefault="00D9265A" w14:paraId="263EA4F4"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 service continuity and integrity of telecommunications </w:t>
      </w:r>
      <w:proofErr w:type="gramStart"/>
      <w:r>
        <w:rPr>
          <w:rFonts w:ascii="Arial" w:hAnsi="Arial" w:cs="Arial"/>
          <w:color w:val="000000"/>
          <w:sz w:val="20"/>
          <w:szCs w:val="20"/>
        </w:rPr>
        <w:t>transmissions</w:t>
      </w:r>
      <w:proofErr w:type="gramEnd"/>
    </w:p>
    <w:p w:rsidR="00D9265A" w:rsidP="5B034611" w:rsidRDefault="00D9265A" w14:paraId="4C4AFE54"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5B034611" w:rsidR="00D9265A">
        <w:rPr>
          <w:rFonts w:ascii="Arial" w:hAnsi="Arial" w:cs="Arial"/>
          <w:color w:val="000000" w:themeColor="text1" w:themeTint="FF" w:themeShade="FF"/>
          <w:sz w:val="20"/>
          <w:szCs w:val="20"/>
        </w:rPr>
        <w:t xml:space="preserve">High voltage environments are any premises where hazardous voltages of 1000V peak-asymmetrical or greater appear on serving facilities due to Ground Potential Rise (GPR) and/or induction caused by faults in electric power systems </w:t>
      </w:r>
      <w:r w:rsidRPr="5B034611" w:rsidR="00D9265A">
        <w:rPr>
          <w:rFonts w:ascii="Arial" w:hAnsi="Arial" w:cs="Arial"/>
          <w:color w:val="000000" w:themeColor="text1" w:themeTint="FF" w:themeShade="FF"/>
          <w:sz w:val="20"/>
          <w:szCs w:val="20"/>
        </w:rPr>
        <w:t>located</w:t>
      </w:r>
      <w:r w:rsidRPr="5B034611" w:rsidR="00D9265A">
        <w:rPr>
          <w:rFonts w:ascii="Arial" w:hAnsi="Arial" w:cs="Arial"/>
          <w:color w:val="000000" w:themeColor="text1" w:themeTint="FF" w:themeShade="FF"/>
          <w:sz w:val="20"/>
          <w:szCs w:val="20"/>
        </w:rPr>
        <w:t xml:space="preserve"> on the end-user premises. HVP is designed to isolate or neutralize </w:t>
      </w:r>
      <w:bookmarkStart w:name="_Int_BQ2ooUqy" w:id="167142254"/>
      <w:r w:rsidRPr="5B034611" w:rsidR="00D9265A">
        <w:rPr>
          <w:rFonts w:ascii="Arial" w:hAnsi="Arial" w:cs="Arial"/>
          <w:color w:val="000000" w:themeColor="text1" w:themeTint="FF" w:themeShade="FF"/>
          <w:sz w:val="20"/>
          <w:szCs w:val="20"/>
        </w:rPr>
        <w:t>the hazardous</w:t>
      </w:r>
      <w:bookmarkEnd w:id="167142254"/>
      <w:r w:rsidRPr="5B034611" w:rsidR="00D9265A">
        <w:rPr>
          <w:rFonts w:ascii="Arial" w:hAnsi="Arial" w:cs="Arial"/>
          <w:color w:val="000000" w:themeColor="text1" w:themeTint="FF" w:themeShade="FF"/>
          <w:sz w:val="20"/>
          <w:szCs w:val="20"/>
        </w:rPr>
        <w:t xml:space="preserve"> voltages. High voltage environments include certain:</w:t>
      </w:r>
    </w:p>
    <w:p w:rsidR="00D9265A" w:rsidP="00D9265A" w:rsidRDefault="00D9265A" w14:paraId="740BC69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Power company sites, including sub-stations, transformers, and </w:t>
      </w:r>
      <w:proofErr w:type="gramStart"/>
      <w:r>
        <w:rPr>
          <w:rFonts w:ascii="Arial" w:hAnsi="Arial" w:cs="Arial"/>
          <w:color w:val="000000"/>
          <w:sz w:val="20"/>
          <w:szCs w:val="20"/>
        </w:rPr>
        <w:t>poles</w:t>
      </w:r>
      <w:proofErr w:type="gramEnd"/>
    </w:p>
    <w:p w:rsidR="00D9265A" w:rsidP="00D9265A" w:rsidRDefault="00D9265A" w14:paraId="02CF56AC"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Government installations</w:t>
      </w:r>
    </w:p>
    <w:p w:rsidR="00D9265A" w:rsidP="00D9265A" w:rsidRDefault="00D9265A" w14:paraId="673CABAB"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Mines, dams, or other industries supplying their own </w:t>
      </w:r>
      <w:proofErr w:type="gramStart"/>
      <w:r>
        <w:rPr>
          <w:rFonts w:ascii="Arial" w:hAnsi="Arial" w:cs="Arial"/>
          <w:color w:val="000000"/>
          <w:sz w:val="20"/>
          <w:szCs w:val="20"/>
        </w:rPr>
        <w:t>power</w:t>
      </w:r>
      <w:proofErr w:type="gramEnd"/>
    </w:p>
    <w:p w:rsidR="00D9265A" w:rsidP="00D9265A" w:rsidRDefault="00D9265A" w14:paraId="1D92BF41"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PCS or Cellular sites located at power transmission line </w:t>
      </w:r>
      <w:proofErr w:type="gramStart"/>
      <w:r>
        <w:rPr>
          <w:rFonts w:ascii="Arial" w:hAnsi="Arial" w:cs="Arial"/>
          <w:color w:val="000000"/>
          <w:sz w:val="20"/>
          <w:szCs w:val="20"/>
        </w:rPr>
        <w:t>towers</w:t>
      </w:r>
      <w:proofErr w:type="gramEnd"/>
    </w:p>
    <w:p w:rsidR="00D9265A" w:rsidP="00D9265A" w:rsidRDefault="00D9265A" w14:paraId="21BFDBF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Options for Service</w:t>
      </w:r>
    </w:p>
    <w:p w:rsidR="00D9265A" w:rsidP="00D9265A" w:rsidRDefault="00D9265A" w14:paraId="58661A7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High Voltage Protection (HVP) options available are:</w:t>
      </w:r>
    </w:p>
    <w:p w:rsidR="00D9265A" w:rsidP="00D9265A" w:rsidRDefault="00D9265A" w14:paraId="60117C73"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CenturyLink </w:t>
      </w:r>
      <w:proofErr w:type="gramStart"/>
      <w:r>
        <w:rPr>
          <w:rFonts w:ascii="Arial" w:hAnsi="Arial" w:cs="Arial"/>
          <w:color w:val="000000"/>
          <w:sz w:val="20"/>
          <w:szCs w:val="20"/>
        </w:rPr>
        <w:t>provided</w:t>
      </w:r>
      <w:proofErr w:type="gramEnd"/>
    </w:p>
    <w:p w:rsidR="00D9265A" w:rsidP="00D9265A" w:rsidRDefault="00D9265A" w14:paraId="19E03D58"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Customer </w:t>
      </w:r>
      <w:proofErr w:type="gramStart"/>
      <w:r>
        <w:rPr>
          <w:rFonts w:ascii="Arial" w:hAnsi="Arial" w:cs="Arial"/>
          <w:color w:val="000000"/>
          <w:sz w:val="20"/>
          <w:szCs w:val="20"/>
        </w:rPr>
        <w:t>provided</w:t>
      </w:r>
      <w:proofErr w:type="gramEnd"/>
    </w:p>
    <w:p w:rsidR="00D9265A" w:rsidP="00D9265A" w:rsidRDefault="00D9265A" w14:paraId="4A9E0C38"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Availability</w:t>
      </w:r>
    </w:p>
    <w:p w:rsidR="00D9265A" w:rsidP="00D9265A" w:rsidRDefault="00D9265A" w14:paraId="2C47A37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High Voltage Protection (HVP) is available where facilities exist throughout </w:t>
      </w:r>
      <w:hyperlink w:history="1" r:id="rId7">
        <w:r>
          <w:rPr>
            <w:rStyle w:val="Hyperlink"/>
            <w:rFonts w:ascii="Arial" w:hAnsi="Arial" w:cs="Arial"/>
            <w:color w:val="006BBD"/>
            <w:sz w:val="20"/>
            <w:szCs w:val="20"/>
          </w:rPr>
          <w:t>CenturyLink QC</w:t>
        </w:r>
      </w:hyperlink>
      <w:hyperlink w:history="1" r:id="rId8">
        <w:r>
          <w:rPr>
            <w:rStyle w:val="Hyperlink"/>
            <w:rFonts w:ascii="Arial" w:hAnsi="Arial" w:cs="Arial"/>
            <w:color w:val="006BBD"/>
            <w:sz w:val="20"/>
            <w:szCs w:val="20"/>
          </w:rPr>
          <w:t>.</w:t>
        </w:r>
      </w:hyperlink>
    </w:p>
    <w:p w:rsidR="00D9265A" w:rsidP="00D9265A" w:rsidRDefault="00D9265A" w14:paraId="53573EB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D9265A" w:rsidP="00D9265A" w:rsidRDefault="00D9265A" w14:paraId="550D993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High Voltage Protection (HVP) is required at customer premises and at CenturyLink central offices whenever the fault-produced GPR/induction equals or exceeds 1000V peak-asymmetrical.</w:t>
      </w:r>
    </w:p>
    <w:p w:rsidR="00D9265A" w:rsidP="00D9265A" w:rsidRDefault="00D9265A" w14:paraId="05BBCFA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High Voltage Protection (HVP) may be provided by you, the end-user, or may be requested from CenturyLink.</w:t>
      </w:r>
    </w:p>
    <w:p w:rsidR="00D9265A" w:rsidP="00D9265A" w:rsidRDefault="00D9265A" w14:paraId="111A69D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At the customer's request, CenturyLink shall provide any required high voltage protection at the customer's premises and, if necessary, at the Company's CO at rates and charges as set forth in the tariff, following guidelines outlined in Technical Publication 77321. The Company will inspect and verify the protection when service is established at new or existing customer locations, and at future times as deemed necessary during changes, </w:t>
      </w:r>
      <w:proofErr w:type="gramStart"/>
      <w:r>
        <w:rPr>
          <w:rFonts w:ascii="Arial" w:hAnsi="Arial" w:cs="Arial"/>
          <w:color w:val="000000"/>
          <w:sz w:val="20"/>
          <w:szCs w:val="20"/>
        </w:rPr>
        <w:t>rearrangements</w:t>
      </w:r>
      <w:proofErr w:type="gramEnd"/>
      <w:r>
        <w:rPr>
          <w:rFonts w:ascii="Arial" w:hAnsi="Arial" w:cs="Arial"/>
          <w:color w:val="000000"/>
          <w:sz w:val="20"/>
          <w:szCs w:val="20"/>
        </w:rPr>
        <w:t xml:space="preserve"> or maintenance.</w:t>
      </w:r>
    </w:p>
    <w:p w:rsidR="00D9265A" w:rsidP="00D9265A" w:rsidRDefault="00D9265A" w14:paraId="3D5A9EEA"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Identifying a High Voltage Location</w:t>
      </w:r>
    </w:p>
    <w:p w:rsidR="00D9265A" w:rsidP="00D9265A" w:rsidRDefault="00D9265A" w14:paraId="588F59F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There are </w:t>
      </w:r>
      <w:proofErr w:type="gramStart"/>
      <w:r>
        <w:rPr>
          <w:rFonts w:ascii="Arial" w:hAnsi="Arial" w:cs="Arial"/>
          <w:color w:val="000000"/>
          <w:sz w:val="20"/>
          <w:szCs w:val="20"/>
        </w:rPr>
        <w:t>a number of</w:t>
      </w:r>
      <w:proofErr w:type="gramEnd"/>
      <w:r>
        <w:rPr>
          <w:rFonts w:ascii="Arial" w:hAnsi="Arial" w:cs="Arial"/>
          <w:color w:val="000000"/>
          <w:sz w:val="20"/>
          <w:szCs w:val="20"/>
        </w:rPr>
        <w:t xml:space="preserve"> ways in which the need for High Voltage Protection (HVP) can be identified. No matter how the high voltage area is identified, the procedure is the same.</w:t>
      </w:r>
    </w:p>
    <w:p w:rsidR="00D9265A" w:rsidP="00D9265A" w:rsidRDefault="00D9265A" w14:paraId="0E7C16BB"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You would advise and/or provide the information.</w:t>
      </w:r>
    </w:p>
    <w:p w:rsidR="00D9265A" w:rsidP="00D9265A" w:rsidRDefault="00D9265A" w14:paraId="4980B2EA"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contacts you to advise you that the location requires high voltage protection after the order has been submitted.</w:t>
      </w:r>
    </w:p>
    <w:p w:rsidR="00D9265A" w:rsidP="00D9265A" w:rsidRDefault="00D9265A" w14:paraId="695C9093"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When the </w:t>
      </w:r>
      <w:proofErr w:type="gramStart"/>
      <w:r>
        <w:rPr>
          <w:rFonts w:ascii="Arial" w:hAnsi="Arial" w:cs="Arial"/>
          <w:color w:val="000000"/>
          <w:sz w:val="20"/>
          <w:szCs w:val="20"/>
        </w:rPr>
        <w:t>end-user</w:t>
      </w:r>
      <w:proofErr w:type="gramEnd"/>
      <w:r>
        <w:rPr>
          <w:rFonts w:ascii="Arial" w:hAnsi="Arial" w:cs="Arial"/>
          <w:color w:val="000000"/>
          <w:sz w:val="20"/>
          <w:szCs w:val="20"/>
        </w:rPr>
        <w:t xml:space="preserve"> name is a substation or power utility company.</w:t>
      </w:r>
    </w:p>
    <w:p w:rsidR="00D9265A" w:rsidP="00D9265A" w:rsidRDefault="00D9265A" w14:paraId="1F2341E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CenturyLink Responsibility</w:t>
      </w:r>
    </w:p>
    <w:p w:rsidR="00D9265A" w:rsidP="00D9265A" w:rsidRDefault="00D9265A" w14:paraId="26A30C7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working in conjunction with the customer, shall determine the proper methods of protection required to achieve the objectives, see the </w:t>
      </w:r>
      <w:hyperlink w:history="1" w:anchor="desc" r:id="rId9">
        <w:r>
          <w:rPr>
            <w:rStyle w:val="Hyperlink"/>
            <w:rFonts w:ascii="Arial" w:hAnsi="Arial" w:cs="Arial"/>
            <w:color w:val="006BBD"/>
            <w:sz w:val="20"/>
            <w:szCs w:val="20"/>
          </w:rPr>
          <w:t>Description section</w:t>
        </w:r>
      </w:hyperlink>
      <w:r>
        <w:rPr>
          <w:rFonts w:ascii="Arial" w:hAnsi="Arial" w:cs="Arial"/>
          <w:color w:val="000000"/>
          <w:sz w:val="20"/>
          <w:szCs w:val="20"/>
        </w:rPr>
        <w:t>. The method of protection for every service in a cable shall be coordinated by CenturyLink to be compatible with the protection provided for the most critically important service in that cable.</w:t>
      </w:r>
    </w:p>
    <w:p w:rsidR="00D9265A" w:rsidP="00D9265A" w:rsidRDefault="00D9265A" w14:paraId="5822D048"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D9265A" w:rsidP="00D9265A" w:rsidRDefault="00D9265A" w14:paraId="4A9D2ED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Technical characteristics, including Network Channel /Network Channel Interface (NC/NCI™) codes, are described in Technical Publication, </w:t>
      </w:r>
      <w:hyperlink w:history="1" r:id="rId10">
        <w:r>
          <w:rPr>
            <w:rStyle w:val="Hyperlink"/>
            <w:rFonts w:ascii="Arial" w:hAnsi="Arial" w:cs="Arial"/>
            <w:color w:val="006BBD"/>
            <w:sz w:val="20"/>
            <w:szCs w:val="20"/>
          </w:rPr>
          <w:t>Special High Voltage Protection</w:t>
        </w:r>
      </w:hyperlink>
      <w:r>
        <w:rPr>
          <w:rFonts w:ascii="Arial" w:hAnsi="Arial" w:cs="Arial"/>
          <w:color w:val="000000"/>
          <w:sz w:val="20"/>
          <w:szCs w:val="20"/>
        </w:rPr>
        <w:t>, 77321.</w:t>
      </w:r>
    </w:p>
    <w:p w:rsidR="00D9265A" w:rsidP="00D9265A" w:rsidRDefault="00D9265A" w14:paraId="0B1A383C"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rsidR="00D9265A" w:rsidP="00D9265A" w:rsidRDefault="00D9265A" w14:paraId="07EC18A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D9265A" w:rsidP="00D9265A" w:rsidRDefault="00D9265A" w14:paraId="0779D99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Monthly charges for HV environments include the standard rate for the intended service, plus, an additional HV charge for the HV equipment.</w:t>
      </w:r>
    </w:p>
    <w:p w:rsidR="00D9265A" w:rsidP="00D9265A" w:rsidRDefault="00D9265A" w14:paraId="689D4E6B"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CenturyLink Provided HVP</w:t>
      </w:r>
    </w:p>
    <w:p w:rsidR="00D9265A" w:rsidP="00D9265A" w:rsidRDefault="00D9265A" w14:paraId="75D6538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charges for HVP may consist of the following:</w:t>
      </w:r>
    </w:p>
    <w:p w:rsidR="00D9265A" w:rsidP="00D9265A" w:rsidRDefault="00D9265A" w14:paraId="3A4F817E"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Central Office Power</w:t>
      </w:r>
    </w:p>
    <w:p w:rsidR="00D9265A" w:rsidP="00D9265A" w:rsidRDefault="00D9265A" w14:paraId="172786A2"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HVP Equipment</w:t>
      </w:r>
    </w:p>
    <w:p w:rsidR="00D9265A" w:rsidP="00D9265A" w:rsidRDefault="00D9265A" w14:paraId="6264AF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HVP charges that may consist of the following:</w:t>
      </w:r>
    </w:p>
    <w:p w:rsidR="00D9265A" w:rsidP="00D9265A" w:rsidRDefault="00D9265A" w14:paraId="4BB70362"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Installation</w:t>
      </w:r>
    </w:p>
    <w:p w:rsidR="00D9265A" w:rsidP="00D9265A" w:rsidRDefault="00D9265A" w14:paraId="4709AE01"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Environmental cabinet</w:t>
      </w:r>
    </w:p>
    <w:p w:rsidR="00D9265A" w:rsidP="00D9265A" w:rsidRDefault="00D9265A" w14:paraId="59652950"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Construction</w:t>
      </w:r>
    </w:p>
    <w:p w:rsidR="00D9265A" w:rsidP="00D9265A" w:rsidRDefault="00D9265A" w14:paraId="18EED0C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Customer Provider HVP</w:t>
      </w:r>
    </w:p>
    <w:p w:rsidR="00D9265A" w:rsidP="00D9265A" w:rsidRDefault="00D9265A" w14:paraId="1CCD5A8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With this option, the customer provides all equipment requirements for HVP and follows all CenturyLink guidelines to ensure safety to CenturyLink installation and maintenance personnel.</w:t>
      </w:r>
    </w:p>
    <w:p w:rsidR="00D9265A" w:rsidP="00D9265A" w:rsidRDefault="00D9265A" w14:paraId="0D1607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HVP charges that may consist of the following:</w:t>
      </w:r>
    </w:p>
    <w:p w:rsidR="00D9265A" w:rsidP="00D9265A" w:rsidRDefault="00D9265A" w14:paraId="2133C7B0"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Environmental cabinet</w:t>
      </w:r>
    </w:p>
    <w:p w:rsidR="00D9265A" w:rsidP="00D9265A" w:rsidRDefault="00D9265A" w14:paraId="5A805F3C"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Construction</w:t>
      </w:r>
    </w:p>
    <w:p w:rsidR="00D9265A" w:rsidP="00D9265A" w:rsidRDefault="00D9265A" w14:paraId="09D278C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D9265A" w:rsidP="00D9265A" w:rsidRDefault="00D9265A" w14:paraId="6A6F7CE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D9265A" w:rsidP="00D9265A" w:rsidRDefault="00D9265A" w14:paraId="521755E6" w14:textId="77777777">
      <w:pPr>
        <w:pStyle w:val="Heading4"/>
        <w:shd w:val="clear" w:color="auto" w:fill="FFFFFF"/>
        <w:spacing w:before="0" w:beforeAutospacing="0" w:after="0" w:afterAutospacing="0"/>
        <w:rPr>
          <w:rFonts w:ascii="Arial" w:hAnsi="Arial" w:cs="Arial"/>
          <w:color w:val="000000"/>
          <w:sz w:val="21"/>
          <w:szCs w:val="21"/>
        </w:rPr>
      </w:pPr>
      <w:bookmarkStart w:name="tariff" w:id="1"/>
      <w:bookmarkEnd w:id="1"/>
      <w:r>
        <w:rPr>
          <w:rFonts w:ascii="Arial" w:hAnsi="Arial" w:cs="Arial"/>
          <w:color w:val="000000"/>
          <w:sz w:val="21"/>
          <w:szCs w:val="21"/>
        </w:rPr>
        <w:t>Tariffs, Regulations, and Policies</w:t>
      </w:r>
    </w:p>
    <w:p w:rsidR="00D9265A" w:rsidP="5B034611" w:rsidRDefault="00D9265A" w14:paraId="64474A4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5B034611" w:rsidR="00D9265A">
        <w:rPr>
          <w:rFonts w:ascii="Arial" w:hAnsi="Arial" w:cs="Arial"/>
          <w:color w:val="000000" w:themeColor="text1" w:themeTint="FF" w:themeShade="FF"/>
          <w:sz w:val="20"/>
          <w:szCs w:val="20"/>
        </w:rPr>
        <w:t xml:space="preserve">Tariffs, </w:t>
      </w:r>
      <w:r w:rsidRPr="5B034611" w:rsidR="00D9265A">
        <w:rPr>
          <w:rFonts w:ascii="Arial" w:hAnsi="Arial" w:cs="Arial"/>
          <w:color w:val="000000" w:themeColor="text1" w:themeTint="FF" w:themeShade="FF"/>
          <w:sz w:val="20"/>
          <w:szCs w:val="20"/>
        </w:rPr>
        <w:t>regulations</w:t>
      </w:r>
      <w:r w:rsidRPr="5B034611" w:rsidR="00D9265A">
        <w:rPr>
          <w:rFonts w:ascii="Arial" w:hAnsi="Arial" w:cs="Arial"/>
          <w:color w:val="000000" w:themeColor="text1" w:themeTint="FF" w:themeShade="FF"/>
          <w:sz w:val="20"/>
          <w:szCs w:val="20"/>
        </w:rPr>
        <w:t xml:space="preserve"> and policies </w:t>
      </w:r>
      <w:bookmarkStart w:name="_Int_iLirKYBV" w:id="1455086334"/>
      <w:r w:rsidRPr="5B034611" w:rsidR="00D9265A">
        <w:rPr>
          <w:rFonts w:ascii="Arial" w:hAnsi="Arial" w:cs="Arial"/>
          <w:color w:val="000000" w:themeColor="text1" w:themeTint="FF" w:themeShade="FF"/>
          <w:sz w:val="20"/>
          <w:szCs w:val="20"/>
        </w:rPr>
        <w:t xml:space="preserve">are </w:t>
      </w:r>
      <w:r w:rsidRPr="5B034611" w:rsidR="00D9265A">
        <w:rPr>
          <w:rFonts w:ascii="Arial" w:hAnsi="Arial" w:cs="Arial"/>
          <w:color w:val="000000" w:themeColor="text1" w:themeTint="FF" w:themeShade="FF"/>
          <w:sz w:val="20"/>
          <w:szCs w:val="20"/>
        </w:rPr>
        <w:t>located</w:t>
      </w:r>
      <w:r w:rsidRPr="5B034611" w:rsidR="00D9265A">
        <w:rPr>
          <w:rFonts w:ascii="Arial" w:hAnsi="Arial" w:cs="Arial"/>
          <w:color w:val="000000" w:themeColor="text1" w:themeTint="FF" w:themeShade="FF"/>
          <w:sz w:val="20"/>
          <w:szCs w:val="20"/>
        </w:rPr>
        <w:t xml:space="preserve"> in</w:t>
      </w:r>
      <w:bookmarkEnd w:id="1455086334"/>
      <w:r w:rsidRPr="5B034611" w:rsidR="00D9265A">
        <w:rPr>
          <w:rFonts w:ascii="Arial" w:hAnsi="Arial" w:cs="Arial"/>
          <w:color w:val="000000" w:themeColor="text1" w:themeTint="FF" w:themeShade="FF"/>
          <w:sz w:val="20"/>
          <w:szCs w:val="20"/>
        </w:rPr>
        <w:t xml:space="preserve"> the state specific </w:t>
      </w:r>
      <w:hyperlink r:id="R446516a241e64ccf">
        <w:r w:rsidRPr="5B034611" w:rsidR="00D9265A">
          <w:rPr>
            <w:rStyle w:val="Hyperlink"/>
            <w:rFonts w:ascii="Arial" w:hAnsi="Arial" w:cs="Arial"/>
            <w:color w:val="006BBD"/>
            <w:sz w:val="20"/>
            <w:szCs w:val="20"/>
          </w:rPr>
          <w:t>Tariffs/Catalogs/Price Lists</w:t>
        </w:r>
      </w:hyperlink>
      <w:r w:rsidRPr="5B034611" w:rsidR="00D9265A">
        <w:rPr>
          <w:rFonts w:ascii="Arial" w:hAnsi="Arial" w:cs="Arial"/>
          <w:color w:val="000000" w:themeColor="text1" w:themeTint="FF" w:themeShade="FF"/>
          <w:sz w:val="20"/>
          <w:szCs w:val="20"/>
        </w:rPr>
        <w:t>.</w:t>
      </w:r>
    </w:p>
    <w:p w:rsidR="5B034611" w:rsidP="5B034611" w:rsidRDefault="5B034611" w14:paraId="371A0019" w14:textId="48F5ABF0">
      <w:pPr>
        <w:pStyle w:val="Heading3"/>
        <w:shd w:val="clear" w:color="auto" w:fill="FFFFFF" w:themeFill="background1"/>
        <w:spacing w:before="0" w:beforeAutospacing="off" w:after="0" w:afterAutospacing="off"/>
        <w:rPr>
          <w:rFonts w:ascii="Arial" w:hAnsi="Arial" w:cs="Arial"/>
          <w:color w:val="000000" w:themeColor="text1" w:themeTint="FF" w:themeShade="FF"/>
          <w:sz w:val="26"/>
          <w:szCs w:val="26"/>
        </w:rPr>
      </w:pPr>
    </w:p>
    <w:p w:rsidR="00D9265A" w:rsidP="00D9265A" w:rsidRDefault="00D9265A" w14:paraId="1DFA151C" w14:textId="77777777">
      <w:pPr>
        <w:pStyle w:val="Heading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Implementation</w:t>
      </w:r>
      <w:bookmarkStart w:name="prodPre" w:id="2"/>
      <w:bookmarkEnd w:id="2"/>
    </w:p>
    <w:p w:rsidR="00D9265A" w:rsidP="00D9265A" w:rsidRDefault="00D9265A" w14:paraId="1E08A24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D9265A" w:rsidP="00D9265A" w:rsidRDefault="00D9265A" w14:paraId="4C47104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12">
        <w:r>
          <w:rPr>
            <w:rStyle w:val="Hyperlink"/>
            <w:rFonts w:ascii="Arial" w:hAnsi="Arial" w:cs="Arial"/>
            <w:color w:val="006BBD"/>
            <w:sz w:val="20"/>
            <w:szCs w:val="20"/>
          </w:rPr>
          <w:t>Getting Started as a Facility-Based CLEC</w:t>
        </w:r>
      </w:hyperlink>
      <w:r>
        <w:rPr>
          <w:rFonts w:ascii="Arial" w:hAnsi="Arial" w:cs="Arial"/>
          <w:color w:val="000000"/>
          <w:sz w:val="20"/>
          <w:szCs w:val="20"/>
        </w:rPr>
        <w:t>. If you are an existing CLEC wishing to amend your Interconnection Agreement or Customer Questionnaire, additional information is located in the </w:t>
      </w:r>
      <w:hyperlink w:history="1" r:id="rId13">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D9265A" w:rsidP="00D9265A" w:rsidRDefault="00D9265A" w14:paraId="5D4774DD"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3"/>
      <w:bookmarkEnd w:id="3"/>
      <w:r>
        <w:rPr>
          <w:rFonts w:ascii="Arial" w:hAnsi="Arial" w:cs="Arial"/>
          <w:color w:val="000000"/>
          <w:sz w:val="21"/>
          <w:szCs w:val="21"/>
        </w:rPr>
        <w:t>Pre-Ordering</w:t>
      </w:r>
    </w:p>
    <w:p w:rsidR="00D9265A" w:rsidP="00D9265A" w:rsidRDefault="00D9265A" w14:paraId="195B27AA"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Customer Responsibilities</w:t>
      </w:r>
    </w:p>
    <w:p w:rsidR="00D9265A" w:rsidP="00D9265A" w:rsidRDefault="00D9265A" w14:paraId="590D756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the responsibility of the customer to provide CenturyLink with the complete the </w:t>
      </w:r>
      <w:hyperlink w:history="1" r:id="rId14">
        <w:r>
          <w:rPr>
            <w:rStyle w:val="Hyperlink"/>
            <w:rFonts w:ascii="Arial" w:hAnsi="Arial" w:cs="Arial"/>
            <w:color w:val="006BBD"/>
            <w:sz w:val="20"/>
            <w:szCs w:val="20"/>
          </w:rPr>
          <w:t>RG31-0048 - Design Information for Power Industry Channels form</w:t>
        </w:r>
      </w:hyperlink>
      <w:r>
        <w:rPr>
          <w:rFonts w:ascii="Arial" w:hAnsi="Arial" w:cs="Arial"/>
          <w:color w:val="000000"/>
          <w:sz w:val="20"/>
          <w:szCs w:val="20"/>
        </w:rPr>
        <w:t> and return it to the appropriate Electrical Protection Engineer.</w:t>
      </w:r>
    </w:p>
    <w:p w:rsidR="00D9265A" w:rsidP="00D9265A" w:rsidRDefault="00D9265A" w14:paraId="745CF52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information is required to be populated on the form:</w:t>
      </w:r>
    </w:p>
    <w:p w:rsidR="00D9265A" w:rsidP="00D9265A" w:rsidRDefault="00D9265A" w14:paraId="2D360774"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locations</w:t>
      </w:r>
    </w:p>
    <w:p w:rsidR="00D9265A" w:rsidP="00D9265A" w:rsidRDefault="00D9265A" w14:paraId="0CC8B3CD"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Ground Potential Rise (GPR) fault data</w:t>
      </w:r>
    </w:p>
    <w:p w:rsidR="00D9265A" w:rsidP="00D9265A" w:rsidRDefault="00D9265A" w14:paraId="0AA67DF7"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type</w:t>
      </w:r>
    </w:p>
    <w:p w:rsidR="00D9265A" w:rsidP="00D9265A" w:rsidRDefault="00D9265A" w14:paraId="303B32F1"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classification</w:t>
      </w:r>
    </w:p>
    <w:p w:rsidR="00D9265A" w:rsidP="00D9265A" w:rsidRDefault="00D9265A" w14:paraId="6A1E029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High Voltage Protection (HVP) service option</w:t>
      </w:r>
    </w:p>
    <w:p w:rsidR="00D9265A" w:rsidP="00D9265A" w:rsidRDefault="00D9265A" w14:paraId="1C56602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Proposed terminal </w:t>
      </w:r>
      <w:proofErr w:type="gramStart"/>
      <w:r>
        <w:rPr>
          <w:rFonts w:ascii="Arial" w:hAnsi="Arial" w:cs="Arial"/>
          <w:color w:val="000000"/>
          <w:sz w:val="20"/>
          <w:szCs w:val="20"/>
        </w:rPr>
        <w:t>equipment</w:t>
      </w:r>
      <w:proofErr w:type="gramEnd"/>
    </w:p>
    <w:p w:rsidR="00D9265A" w:rsidP="00D9265A" w:rsidRDefault="00D9265A" w14:paraId="38B39754"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Channel type (e.g., UG type circuit)</w:t>
      </w:r>
    </w:p>
    <w:p w:rsidR="00D9265A" w:rsidP="00D9265A" w:rsidRDefault="00D9265A" w14:paraId="5CC13F3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When one customer extends a circuit to a high voltage environment which belongs to another customer (e.g., a governmental agency terminating at an electric company's power plant), installation personnel may discuss the need for HVP with either customer. It may be necessary for the customers to discuss HVP requirements with each other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provide complete information to CenturyLink. HVP is only effective if all services terminating at a customer location are protected. One customer's delayed installation of HVP may impact installation of other customers' services.</w:t>
      </w:r>
    </w:p>
    <w:p w:rsidR="00D9265A" w:rsidP="00D9265A" w:rsidRDefault="00D9265A" w14:paraId="7CA308A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Anytime a customer wishes to change any of the above information, a revised </w:t>
      </w:r>
      <w:hyperlink w:history="1" r:id="rId15">
        <w:r>
          <w:rPr>
            <w:rStyle w:val="Hyperlink"/>
            <w:rFonts w:ascii="Arial" w:hAnsi="Arial" w:cs="Arial"/>
            <w:color w:val="006BBD"/>
            <w:sz w:val="20"/>
            <w:szCs w:val="20"/>
          </w:rPr>
          <w:t>RG31-0048 - Design Information for Power Industry Channels form</w:t>
        </w:r>
      </w:hyperlink>
      <w:r>
        <w:rPr>
          <w:rFonts w:ascii="Arial" w:hAnsi="Arial" w:cs="Arial"/>
          <w:color w:val="000000"/>
          <w:sz w:val="20"/>
          <w:szCs w:val="20"/>
        </w:rPr>
        <w:t> is required.</w:t>
      </w:r>
    </w:p>
    <w:p w:rsidR="00D9265A" w:rsidP="00D9265A" w:rsidRDefault="00D9265A" w14:paraId="1590E40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completed form should be sent to your </w:t>
      </w:r>
      <w:hyperlink w:history="1" r:id="rId16">
        <w:r>
          <w:rPr>
            <w:rStyle w:val="Hyperlink"/>
            <w:rFonts w:ascii="Arial" w:hAnsi="Arial" w:cs="Arial"/>
            <w:color w:val="006BBD"/>
            <w:sz w:val="20"/>
            <w:szCs w:val="20"/>
          </w:rPr>
          <w:t>CenturyLink Service Manager</w:t>
        </w:r>
      </w:hyperlink>
      <w:r>
        <w:rPr>
          <w:rFonts w:ascii="Arial" w:hAnsi="Arial" w:cs="Arial"/>
          <w:color w:val="000000"/>
          <w:sz w:val="20"/>
          <w:szCs w:val="20"/>
        </w:rPr>
        <w:t> who will forward it the Electrical Protection Engineer (EPE) for the state where the service will be located.</w:t>
      </w:r>
    </w:p>
    <w:p w:rsidR="00D9265A" w:rsidP="00D9265A" w:rsidRDefault="00D9265A" w14:paraId="72890B9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Your </w:t>
      </w:r>
      <w:hyperlink w:history="1" r:id="rId17">
        <w:r>
          <w:rPr>
            <w:rStyle w:val="Hyperlink"/>
            <w:rFonts w:ascii="Arial" w:hAnsi="Arial" w:cs="Arial"/>
            <w:color w:val="006BBD"/>
            <w:sz w:val="20"/>
            <w:szCs w:val="20"/>
          </w:rPr>
          <w:t>CenturyLink Service Manager</w:t>
        </w:r>
      </w:hyperlink>
      <w:r>
        <w:rPr>
          <w:rFonts w:ascii="Arial" w:hAnsi="Arial" w:cs="Arial"/>
          <w:color w:val="000000"/>
          <w:sz w:val="20"/>
          <w:szCs w:val="20"/>
        </w:rPr>
        <w:t> will assist you with any questions about the RG31-0048 form.</w:t>
      </w:r>
    </w:p>
    <w:p w:rsidR="00D9265A" w:rsidP="00D9265A" w:rsidRDefault="00D9265A" w14:paraId="0E8F0716" w14:textId="77777777">
      <w:pPr>
        <w:pStyle w:val="Heading4"/>
        <w:shd w:val="clear" w:color="auto" w:fill="FFFFFF"/>
        <w:spacing w:before="0" w:beforeAutospacing="0" w:after="0" w:afterAutospacing="0"/>
        <w:rPr>
          <w:rFonts w:ascii="Arial" w:hAnsi="Arial" w:cs="Arial"/>
          <w:color w:val="000000"/>
          <w:sz w:val="21"/>
          <w:szCs w:val="21"/>
        </w:rPr>
      </w:pPr>
      <w:bookmarkStart w:name="order" w:id="4"/>
      <w:bookmarkEnd w:id="4"/>
      <w:r>
        <w:rPr>
          <w:rFonts w:ascii="Arial" w:hAnsi="Arial" w:cs="Arial"/>
          <w:color w:val="000000"/>
          <w:sz w:val="21"/>
          <w:szCs w:val="21"/>
        </w:rPr>
        <w:t>Ordering</w:t>
      </w:r>
    </w:p>
    <w:p w:rsidR="00D9265A" w:rsidP="00D9265A" w:rsidRDefault="00D9265A" w14:paraId="200F9F7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request HVP or to identify an existing HVP site, use the following guidelines.</w:t>
      </w:r>
    </w:p>
    <w:p w:rsidR="00D9265A" w:rsidP="00D9265A" w:rsidRDefault="00D9265A" w14:paraId="1264CB0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Local Service Request (LSR)</w:t>
      </w:r>
    </w:p>
    <w:p w:rsidR="00D9265A" w:rsidP="00D9265A" w:rsidRDefault="00D9265A" w14:paraId="3FCEAE7B" w14:textId="77777777">
      <w:pPr>
        <w:shd w:val="clear" w:color="auto" w:fill="FFFFFF"/>
        <w:spacing w:before="225" w:after="225"/>
        <w:ind w:left="1170"/>
        <w:rPr>
          <w:rFonts w:ascii="Arial" w:hAnsi="Arial" w:cs="Arial"/>
          <w:color w:val="000000"/>
          <w:sz w:val="20"/>
          <w:szCs w:val="20"/>
        </w:rPr>
      </w:pPr>
      <w:r>
        <w:rPr>
          <w:rFonts w:ascii="Arial" w:hAnsi="Arial" w:cs="Arial"/>
          <w:color w:val="000000"/>
          <w:sz w:val="20"/>
          <w:szCs w:val="20"/>
        </w:rPr>
        <w:t>High Voltage Protection (HVP) service requests are submitted by marking the LSR for manual handling and include High Voltage Protection as a notation in the Remarks Section.</w:t>
      </w:r>
    </w:p>
    <w:p w:rsidR="00D9265A" w:rsidP="00D9265A" w:rsidRDefault="00D9265A" w14:paraId="770868B7" w14:textId="77777777">
      <w:pPr>
        <w:shd w:val="clear" w:color="auto" w:fill="FFFFFF"/>
        <w:spacing w:after="0"/>
        <w:ind w:left="2340"/>
        <w:rPr>
          <w:rFonts w:ascii="Arial" w:hAnsi="Arial" w:cs="Arial"/>
          <w:color w:val="000000"/>
          <w:sz w:val="20"/>
          <w:szCs w:val="20"/>
        </w:rPr>
      </w:pPr>
      <w:r>
        <w:rPr>
          <w:rFonts w:ascii="Arial" w:hAnsi="Arial" w:cs="Arial"/>
          <w:color w:val="000000"/>
          <w:sz w:val="20"/>
          <w:szCs w:val="20"/>
        </w:rPr>
        <w:t>If you are submitting a service request where HVP is provided by you or the end-user, you will need to identify this in the Remarks section as High Voltage Protection (HVP) Customer Provided.</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If you are submitting a service request where you want HVP provided by CenturyLink you will need to identify this in the remarks section as requesting High Voltage Protection (HVP) CenturyLink Provided.</w:t>
      </w:r>
    </w:p>
    <w:p w:rsidR="00D9265A" w:rsidP="5B034611" w:rsidRDefault="00D9265A" w14:paraId="18A631FD" w14:textId="76AEFD80">
      <w:pPr>
        <w:pStyle w:val="NormalWeb"/>
        <w:shd w:val="clear" w:color="auto" w:fill="FFFFFF" w:themeFill="background1"/>
        <w:spacing w:before="0" w:beforeAutospacing="off" w:after="0" w:afterAutospacing="off"/>
        <w:ind w:left="1170"/>
        <w:rPr>
          <w:rFonts w:ascii="Arial" w:hAnsi="Arial" w:cs="Arial"/>
          <w:color w:val="000000"/>
          <w:sz w:val="20"/>
          <w:szCs w:val="20"/>
        </w:rPr>
      </w:pPr>
      <w:r w:rsidRPr="5B034611" w:rsidR="00D9265A">
        <w:rPr>
          <w:rFonts w:ascii="Arial" w:hAnsi="Arial" w:cs="Arial"/>
          <w:color w:val="000000" w:themeColor="text1" w:themeTint="FF" w:themeShade="FF"/>
          <w:sz w:val="20"/>
          <w:szCs w:val="20"/>
        </w:rPr>
        <w:t>Service requests should be placed using </w:t>
      </w:r>
      <w:hyperlink r:id="Rb4ae859ddb674269">
        <w:r w:rsidRPr="5B034611" w:rsidR="00D9265A">
          <w:rPr>
            <w:rStyle w:val="Hyperlink"/>
            <w:rFonts w:ascii="Arial" w:hAnsi="Arial" w:cs="Arial"/>
            <w:sz w:val="20"/>
            <w:szCs w:val="20"/>
          </w:rPr>
          <w:t>EASE-LSR Extensible Markup Language (XML)</w:t>
        </w:r>
      </w:hyperlink>
      <w:r w:rsidRPr="5B034611" w:rsidR="00D9265A">
        <w:rPr>
          <w:rFonts w:ascii="Arial" w:hAnsi="Arial" w:cs="Arial"/>
          <w:color w:val="000000" w:themeColor="text1" w:themeTint="FF" w:themeShade="FF"/>
          <w:sz w:val="20"/>
          <w:szCs w:val="20"/>
        </w:rPr>
        <w:t> or </w:t>
      </w:r>
      <w:hyperlink r:id="R154b28156fa44763">
        <w:r w:rsidRPr="5B034611" w:rsidR="00D9265A">
          <w:rPr>
            <w:rStyle w:val="Hyperlink"/>
            <w:rFonts w:ascii="Arial" w:hAnsi="Arial" w:cs="Arial"/>
            <w:color w:val="006BBD"/>
            <w:sz w:val="20"/>
            <w:szCs w:val="20"/>
          </w:rPr>
          <w:t>EASE-LSR Graphical User Interface (GUI)</w:t>
        </w:r>
      </w:hyperlink>
      <w:r w:rsidRPr="5B034611" w:rsidR="00D9265A">
        <w:rPr>
          <w:rFonts w:ascii="Arial" w:hAnsi="Arial" w:cs="Arial"/>
          <w:color w:val="000000" w:themeColor="text1" w:themeTint="FF" w:themeShade="FF"/>
          <w:sz w:val="20"/>
          <w:szCs w:val="20"/>
        </w:rPr>
        <w:t>.</w:t>
      </w:r>
    </w:p>
    <w:p w:rsidR="00D9265A" w:rsidP="00D9265A" w:rsidRDefault="00D9265A" w14:paraId="3AD873FA"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If HVP is identified after the service request has been submitted, or the CenturyLink order has been issued, a SUP will be required, up to and including a request for a due date change due to Customer requirements in providing HVP.</w:t>
      </w:r>
    </w:p>
    <w:p w:rsidR="00D9265A" w:rsidP="00D9265A" w:rsidRDefault="00D9265A" w14:paraId="1CE6191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Access Service Request (ASR)</w:t>
      </w:r>
    </w:p>
    <w:p w:rsidR="00D9265A" w:rsidP="00D9265A" w:rsidRDefault="00D9265A" w14:paraId="425D1D9C" w14:textId="77777777">
      <w:pPr>
        <w:shd w:val="clear" w:color="auto" w:fill="FFFFFF"/>
        <w:ind w:left="1170"/>
        <w:rPr>
          <w:rFonts w:ascii="Arial" w:hAnsi="Arial" w:cs="Arial"/>
          <w:color w:val="000000"/>
          <w:sz w:val="20"/>
          <w:szCs w:val="20"/>
        </w:rPr>
      </w:pPr>
      <w:r>
        <w:rPr>
          <w:rFonts w:ascii="Arial" w:hAnsi="Arial" w:cs="Arial"/>
          <w:color w:val="000000"/>
          <w:sz w:val="20"/>
          <w:szCs w:val="20"/>
        </w:rPr>
        <w:t>High Voltage Protection (HVP) service requests are submitted by marking the High Voltage Protection field on the Access Service Ordering Guidelines (ASOG) form. Field entry requirements are described in the </w:t>
      </w:r>
      <w:hyperlink w:history="1" r:id="rId20">
        <w:r>
          <w:rPr>
            <w:rStyle w:val="Hyperlink"/>
            <w:rFonts w:ascii="Arial" w:hAnsi="Arial" w:cs="Arial"/>
            <w:color w:val="006BBD"/>
            <w:sz w:val="20"/>
            <w:szCs w:val="20"/>
          </w:rPr>
          <w:t>Access Service Request (ASR) Forms</w:t>
        </w:r>
      </w:hyperlink>
      <w:r>
        <w:rPr>
          <w:rFonts w:ascii="Arial" w:hAnsi="Arial" w:cs="Arial"/>
          <w:color w:val="000000"/>
          <w:sz w:val="20"/>
          <w:szCs w:val="20"/>
        </w:rPr>
        <w:t>.</w:t>
      </w:r>
    </w:p>
    <w:p w:rsidR="00D9265A" w:rsidP="00D9265A" w:rsidRDefault="00D9265A" w14:paraId="0945C17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For new requests, only one RG31-0048 form needs to be submitted per location (e.g. if five circuits are ordered </w:t>
      </w:r>
      <w:proofErr w:type="gramStart"/>
      <w:r>
        <w:rPr>
          <w:rFonts w:ascii="Arial" w:hAnsi="Arial" w:cs="Arial"/>
          <w:color w:val="000000"/>
          <w:sz w:val="20"/>
          <w:szCs w:val="20"/>
        </w:rPr>
        <w:t>on</w:t>
      </w:r>
      <w:proofErr w:type="gramEnd"/>
      <w:r>
        <w:rPr>
          <w:rFonts w:ascii="Arial" w:hAnsi="Arial" w:cs="Arial"/>
          <w:color w:val="000000"/>
          <w:sz w:val="20"/>
          <w:szCs w:val="20"/>
        </w:rPr>
        <w:t xml:space="preserve"> the same location, only one form is needed).</w:t>
      </w:r>
    </w:p>
    <w:p w:rsidR="00D9265A" w:rsidP="00D9265A" w:rsidRDefault="00D9265A" w14:paraId="541CADC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existing HVP locations where CenturyLink has an RG31-0048 form on file, if it is more than two years old, a new one is required. CenturyLink will contact the EPE and if the EPE confirms that a current form is not on file, CenturyLink will request the form or the electrical protection information. CenturyLink will consider the service request invalid until a response is received from the EPE that the requirement for the form or electrical protection information has been satisfied.</w:t>
      </w:r>
    </w:p>
    <w:p w:rsidR="00D9265A" w:rsidP="00D9265A" w:rsidRDefault="00D9265A" w14:paraId="6B429AA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HVP is identified after the service request has been submitted, or the CenturyLink order has been issued, a SUP will be required, up to and including a request for a due date change due to Customer requirements in providing HVP.</w:t>
      </w:r>
    </w:p>
    <w:p w:rsidR="00D9265A" w:rsidP="00D9265A" w:rsidRDefault="00D9265A" w14:paraId="7534EFA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unable to ascertain that a current form is on file (e.g. can't reach the EPE), you may request that the property owner send the form. The property owner request will not be valid until a response is received from the EPE that the requirement for the form has been satisfied.</w:t>
      </w:r>
      <w:bookmarkStart w:name="pro" w:id="5"/>
      <w:bookmarkEnd w:id="5"/>
    </w:p>
    <w:p w:rsidR="00D9265A" w:rsidP="00D9265A" w:rsidRDefault="00D9265A" w14:paraId="0ADBEAC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Provisioning and Installation</w:t>
      </w:r>
    </w:p>
    <w:p w:rsidR="00D9265A" w:rsidP="00D9265A" w:rsidRDefault="00D9265A" w14:paraId="31C9FAC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2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D9265A" w:rsidP="00D9265A" w:rsidRDefault="00D9265A" w14:paraId="2CA595A2" w14:textId="77777777">
      <w:pPr>
        <w:pStyle w:val="Heading4"/>
        <w:shd w:val="clear" w:color="auto" w:fill="FFFFFF"/>
        <w:spacing w:before="75" w:beforeAutospacing="0" w:after="75" w:afterAutospacing="0"/>
        <w:rPr>
          <w:rFonts w:ascii="Arial" w:hAnsi="Arial" w:cs="Arial"/>
          <w:color w:val="000000"/>
          <w:sz w:val="21"/>
          <w:szCs w:val="21"/>
        </w:rPr>
      </w:pPr>
      <w:bookmarkStart w:name="maint" w:id="6"/>
      <w:bookmarkEnd w:id="6"/>
      <w:r>
        <w:rPr>
          <w:rFonts w:ascii="Arial" w:hAnsi="Arial" w:cs="Arial"/>
          <w:color w:val="000000"/>
          <w:sz w:val="21"/>
          <w:szCs w:val="21"/>
        </w:rPr>
        <w:t>Maintenance and Repair</w:t>
      </w:r>
    </w:p>
    <w:p w:rsidR="00D9265A" w:rsidP="00D9265A" w:rsidRDefault="00D9265A" w14:paraId="676A215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22">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7"/>
      <w:bookmarkEnd w:id="7"/>
    </w:p>
    <w:p w:rsidR="00D9265A" w:rsidP="00D9265A" w:rsidRDefault="00D9265A" w14:paraId="6D8D2CD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D9265A" w:rsidP="748AC996" w:rsidRDefault="00D9265A" w14:paraId="463099EF" w14:textId="0EA08B8B">
      <w:pPr>
        <w:pStyle w:val="Normal"/>
        <w:shd w:val="clear" w:color="auto" w:fill="FFFFFF" w:themeFill="background1"/>
        <w:spacing w:before="150" w:beforeAutospacing="off" w:after="225" w:afterAutospacing="off" w:line="240" w:lineRule="auto"/>
        <w:ind/>
        <w:rPr>
          <w:rFonts w:ascii="Arial" w:hAnsi="Arial" w:eastAsia="Arial" w:cs="Arial"/>
          <w:b w:val="0"/>
          <w:bCs w:val="0"/>
          <w:i w:val="0"/>
          <w:iCs w:val="0"/>
          <w:caps w:val="0"/>
          <w:smallCaps w:val="0"/>
          <w:noProof w:val="0"/>
          <w:color w:val="FF0000"/>
          <w:sz w:val="20"/>
          <w:szCs w:val="20"/>
          <w:lang w:val="en-US"/>
        </w:rPr>
      </w:pPr>
      <w:r w:rsidRPr="748AC996" w:rsidR="00D9265A">
        <w:rPr>
          <w:rFonts w:ascii="Arial" w:hAnsi="Arial" w:cs="Arial"/>
          <w:strike w:val="1"/>
          <w:color w:val="FF0000"/>
          <w:sz w:val="20"/>
          <w:szCs w:val="20"/>
        </w:rPr>
        <w:t>Customer Records and Information System (CRIS) billing is described in </w:t>
      </w:r>
      <w:hyperlink r:id="Re750d07347464508">
        <w:r w:rsidRPr="748AC996" w:rsidR="00D9265A">
          <w:rPr>
            <w:rStyle w:val="Hyperlink"/>
            <w:rFonts w:ascii="Arial" w:hAnsi="Arial" w:cs="Arial"/>
            <w:strike w:val="1"/>
            <w:color w:val="FF0000"/>
            <w:sz w:val="20"/>
            <w:szCs w:val="20"/>
          </w:rPr>
          <w:t>Billing Information - Customer Records and Information System (CRIS)</w:t>
        </w:r>
      </w:hyperlink>
      <w:r w:rsidRPr="748AC996" w:rsidR="00D9265A">
        <w:rPr>
          <w:rFonts w:ascii="Arial" w:hAnsi="Arial" w:cs="Arial"/>
          <w:strike w:val="1"/>
          <w:color w:val="FF0000"/>
          <w:sz w:val="20"/>
          <w:szCs w:val="20"/>
        </w:rPr>
        <w:t>.</w:t>
      </w:r>
      <w:r w:rsidRPr="748AC996" w:rsidR="4F680C2C">
        <w:rPr>
          <w:rFonts w:ascii="Calibri" w:hAnsi="Calibri" w:eastAsia="Calibri" w:cs="Calibri"/>
          <w:noProof w:val="0"/>
          <w:sz w:val="22"/>
          <w:szCs w:val="22"/>
          <w:lang w:val="en-US"/>
        </w:rPr>
        <w:t xml:space="preserve"> </w:t>
      </w:r>
      <w:r w:rsidRPr="748AC996" w:rsidR="5ED60B95">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D9265A" w:rsidP="748AC996" w:rsidRDefault="00D9265A" w14:paraId="4D071BBA" w14:textId="5E7A0732">
      <w:pPr>
        <w:shd w:val="clear" w:color="auto" w:fill="FFFFFF" w:themeFill="background1"/>
        <w:spacing w:before="150" w:beforeAutospacing="off" w:after="225" w:afterAutospacing="off" w:line="240" w:lineRule="auto"/>
        <w:ind/>
        <w:rPr>
          <w:rFonts w:ascii="Arial" w:hAnsi="Arial" w:eastAsia="Arial" w:cs="Arial"/>
          <w:b w:val="0"/>
          <w:bCs w:val="0"/>
          <w:i w:val="0"/>
          <w:iCs w:val="0"/>
          <w:caps w:val="0"/>
          <w:smallCaps w:val="0"/>
          <w:noProof w:val="0"/>
          <w:color w:val="FF0000"/>
          <w:sz w:val="20"/>
          <w:szCs w:val="20"/>
          <w:lang w:val="en-US"/>
        </w:rPr>
      </w:pPr>
      <w:r w:rsidRPr="748AC996" w:rsidR="5ED60B95">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345b3f66b76d46a8">
        <w:r w:rsidRPr="748AC996" w:rsidR="5ED60B95">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748AC996" w:rsidR="5ED60B95">
        <w:rPr>
          <w:rFonts w:ascii="Arial" w:hAnsi="Arial" w:eastAsia="Arial" w:cs="Arial"/>
          <w:b w:val="0"/>
          <w:bCs w:val="0"/>
          <w:i w:val="0"/>
          <w:iCs w:val="0"/>
          <w:caps w:val="0"/>
          <w:smallCaps w:val="0"/>
          <w:strike w:val="0"/>
          <w:dstrike w:val="0"/>
          <w:noProof w:val="0"/>
          <w:color w:val="FF0000"/>
          <w:sz w:val="20"/>
          <w:szCs w:val="20"/>
          <w:u w:val="none"/>
          <w:lang w:val="en-US"/>
        </w:rPr>
        <w:t>.</w:t>
      </w:r>
    </w:p>
    <w:p w:rsidR="00D9265A" w:rsidP="748AC996" w:rsidRDefault="00D9265A" w14:paraId="48B25DF1" w14:textId="70599B68">
      <w:pPr>
        <w:pStyle w:val="Normal"/>
        <w:spacing w:before="0" w:beforeAutospacing="off" w:after="0" w:afterAutospacing="off"/>
        <w:ind w:left="-20" w:right="-20"/>
        <w:rPr>
          <w:rFonts w:ascii="Calibri" w:hAnsi="Calibri" w:eastAsia="Calibri" w:cs="Calibri"/>
          <w:noProof w:val="0"/>
          <w:sz w:val="22"/>
          <w:szCs w:val="22"/>
          <w:lang w:val="en-US"/>
        </w:rPr>
      </w:pPr>
    </w:p>
    <w:p w:rsidR="00D9265A" w:rsidP="63CBE4DF" w:rsidRDefault="00D9265A" w14:paraId="5BFE1D14" w14:textId="3DD26D30">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0D9265A" w:rsidP="00D9265A" w:rsidRDefault="00D9265A" w14:paraId="3EAE748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Carrier Access Billing System (CABS) billing is described in </w:t>
      </w:r>
      <w:hyperlink w:history="1" r:id="rId24">
        <w:r>
          <w:rPr>
            <w:rStyle w:val="Hyperlink"/>
            <w:rFonts w:ascii="Arial" w:hAnsi="Arial" w:cs="Arial"/>
            <w:color w:val="006BBD"/>
            <w:sz w:val="20"/>
            <w:szCs w:val="20"/>
          </w:rPr>
          <w:t>Billing Information - Carrier Access Billing System (CABS)</w:t>
        </w:r>
      </w:hyperlink>
      <w:proofErr w:type="gramStart"/>
      <w:r>
        <w:rPr>
          <w:rFonts w:ascii="Arial" w:hAnsi="Arial" w:cs="Arial"/>
          <w:color w:val="000000"/>
          <w:sz w:val="20"/>
          <w:szCs w:val="20"/>
        </w:rPr>
        <w:t>. .</w:t>
      </w:r>
      <w:bookmarkStart w:name="training" w:id="8"/>
      <w:bookmarkEnd w:id="8"/>
      <w:proofErr w:type="gramEnd"/>
    </w:p>
    <w:p w:rsidR="00D9265A" w:rsidP="00D9265A" w:rsidRDefault="00D9265A" w14:paraId="45B997AB"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Training</w:t>
      </w:r>
    </w:p>
    <w:p w:rsidR="00D9265A" w:rsidP="00D9265A" w:rsidRDefault="00D9265A" w14:paraId="7BFC442C"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 xml:space="preserve">Local CenturyLink 101 "Doing Business </w:t>
      </w:r>
      <w:proofErr w:type="gramStart"/>
      <w:r>
        <w:rPr>
          <w:rStyle w:val="Strong"/>
          <w:rFonts w:ascii="Arial" w:hAnsi="Arial" w:cs="Arial"/>
          <w:color w:val="000000"/>
          <w:sz w:val="20"/>
          <w:szCs w:val="20"/>
        </w:rPr>
        <w:t>With</w:t>
      </w:r>
      <w:proofErr w:type="gramEnd"/>
      <w:r>
        <w:rPr>
          <w:rStyle w:val="Strong"/>
          <w:rFonts w:ascii="Arial" w:hAnsi="Arial" w:cs="Arial"/>
          <w:color w:val="000000"/>
          <w:sz w:val="20"/>
          <w:szCs w:val="20"/>
        </w:rPr>
        <w:t xml:space="preserve"> CenturyLink"</w:t>
      </w:r>
    </w:p>
    <w:p w:rsidR="00D9265A" w:rsidP="47C47436" w:rsidRDefault="00D9265A" w14:paraId="17D05003" w14:textId="36F94597">
      <w:pPr>
        <w:numPr>
          <w:ilvl w:val="0"/>
          <w:numId w:val="9"/>
        </w:numPr>
        <w:shd w:val="clear" w:color="auto" w:fill="FFFFFF" w:themeFill="background1"/>
        <w:spacing w:after="0" w:line="240" w:lineRule="auto"/>
        <w:ind w:left="1170"/>
        <w:rPr>
          <w:rFonts w:ascii="Arial" w:hAnsi="Arial" w:eastAsia="Arial" w:cs="Arial"/>
          <w:noProof w:val="0"/>
          <w:sz w:val="20"/>
          <w:szCs w:val="20"/>
          <w:lang w:val="en-US"/>
        </w:rPr>
      </w:pPr>
      <w:r w:rsidRPr="47C47436" w:rsidR="00D9265A">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47C47436" w:rsidR="00D9265A">
        <w:rPr>
          <w:rFonts w:ascii="Arial" w:hAnsi="Arial" w:cs="Arial"/>
          <w:color w:val="000000" w:themeColor="text1" w:themeTint="FF" w:themeShade="FF"/>
          <w:sz w:val="20"/>
          <w:szCs w:val="20"/>
        </w:rPr>
        <w:t>submitting</w:t>
      </w:r>
      <w:r w:rsidRPr="47C47436" w:rsidR="00D9265A">
        <w:rPr>
          <w:rFonts w:ascii="Arial" w:hAnsi="Arial" w:cs="Arial"/>
          <w:color w:val="000000" w:themeColor="text1" w:themeTint="FF" w:themeShade="FF"/>
          <w:sz w:val="20"/>
          <w:szCs w:val="20"/>
        </w:rPr>
        <w:t xml:space="preserve"> service requests, reports, and web resource access information. </w:t>
      </w:r>
      <w:r w:rsidRPr="47C47436" w:rsidR="1048800A">
        <w:rPr>
          <w:rFonts w:ascii="Arial" w:hAnsi="Arial" w:eastAsia="Arial" w:cs="Arial"/>
          <w:b w:val="0"/>
          <w:bCs w:val="0"/>
          <w:i w:val="0"/>
          <w:iCs w:val="0"/>
          <w:caps w:val="0"/>
          <w:smallCaps w:val="0"/>
          <w:strike w:val="1"/>
          <w:noProof w:val="0"/>
          <w:color w:val="FF0000"/>
          <w:sz w:val="20"/>
          <w:szCs w:val="20"/>
          <w:u w:val="none"/>
          <w:lang w:val="en-US"/>
        </w:rPr>
        <w:t> </w:t>
      </w:r>
      <w:hyperlink r:id="R7fdc34bad9e841f1">
        <w:r w:rsidRPr="47C47436" w:rsidR="1048800A">
          <w:rPr>
            <w:rStyle w:val="Hyperlink"/>
            <w:rFonts w:ascii="Arial" w:hAnsi="Arial" w:eastAsia="Arial" w:cs="Arial"/>
            <w:b w:val="0"/>
            <w:bCs w:val="0"/>
            <w:i w:val="0"/>
            <w:iCs w:val="0"/>
            <w:caps w:val="0"/>
            <w:smallCaps w:val="0"/>
            <w:strike w:val="1"/>
            <w:noProof w:val="0"/>
            <w:color w:val="FF0000"/>
            <w:sz w:val="20"/>
            <w:szCs w:val="20"/>
            <w:u w:val="single"/>
            <w:lang w:val="en-US"/>
          </w:rPr>
          <w:t>Click here to learn more about this course and to register</w:t>
        </w:r>
      </w:hyperlink>
      <w:r w:rsidRPr="47C47436" w:rsidR="1048800A">
        <w:rPr>
          <w:rFonts w:ascii="Arial" w:hAnsi="Arial" w:eastAsia="Arial" w:cs="Arial"/>
          <w:b w:val="0"/>
          <w:bCs w:val="0"/>
          <w:i w:val="0"/>
          <w:iCs w:val="0"/>
          <w:caps w:val="0"/>
          <w:smallCaps w:val="0"/>
          <w:strike w:val="1"/>
          <w:noProof w:val="0"/>
          <w:color w:val="FF0000"/>
          <w:sz w:val="20"/>
          <w:szCs w:val="20"/>
          <w:u w:val="none"/>
          <w:lang w:val="en-US"/>
        </w:rPr>
        <w:t>.</w:t>
      </w:r>
      <w:r w:rsidRPr="47C47436" w:rsidR="1048800A">
        <w:rPr>
          <w:rFonts w:ascii="Arial" w:hAnsi="Arial" w:eastAsia="Arial" w:cs="Arial"/>
          <w:b w:val="0"/>
          <w:bCs w:val="0"/>
          <w:i w:val="0"/>
          <w:iCs w:val="0"/>
          <w:caps w:val="0"/>
          <w:smallCaps w:val="0"/>
          <w:noProof w:val="0"/>
          <w:color w:val="FF0000"/>
          <w:sz w:val="20"/>
          <w:szCs w:val="20"/>
          <w:lang w:val="en-US"/>
        </w:rPr>
        <w:t xml:space="preserve"> </w:t>
      </w:r>
      <w:hyperlink r:id="Re5508bd5e1f349ff">
        <w:r w:rsidRPr="47C47436" w:rsidR="1048800A">
          <w:rPr>
            <w:rStyle w:val="Hyperlink"/>
            <w:rFonts w:ascii="Arial" w:hAnsi="Arial" w:eastAsia="Arial" w:cs="Arial"/>
            <w:b w:val="0"/>
            <w:bCs w:val="0"/>
            <w:i w:val="0"/>
            <w:iCs w:val="0"/>
            <w:caps w:val="0"/>
            <w:smallCaps w:val="0"/>
            <w:strike w:val="0"/>
            <w:dstrike w:val="0"/>
            <w:noProof w:val="0"/>
            <w:sz w:val="20"/>
            <w:szCs w:val="20"/>
            <w:lang w:val="en-US"/>
          </w:rPr>
          <w:t>Click here to learn more about this Training.</w:t>
        </w:r>
      </w:hyperlink>
    </w:p>
    <w:p w:rsidR="00D9265A" w:rsidP="5B034611" w:rsidRDefault="00D9265A" w14:paraId="2D9A38AA" w14:textId="16938D00">
      <w:pPr>
        <w:pStyle w:val="NormalWeb"/>
        <w:shd w:val="clear" w:color="auto" w:fill="FFFFFF" w:themeFill="background1"/>
        <w:spacing w:before="0" w:beforeAutospacing="off" w:after="0" w:afterAutospacing="off"/>
        <w:rPr>
          <w:noProof w:val="0"/>
          <w:lang w:val="en-US"/>
        </w:rPr>
      </w:pPr>
      <w:r w:rsidRPr="47C47436" w:rsidR="00D9265A">
        <w:rPr>
          <w:rFonts w:ascii="Arial" w:hAnsi="Arial" w:cs="Arial"/>
          <w:color w:val="000000" w:themeColor="text1" w:themeTint="FF" w:themeShade="FF"/>
          <w:sz w:val="20"/>
          <w:szCs w:val="20"/>
        </w:rPr>
        <w:t xml:space="preserve">View </w:t>
      </w:r>
      <w:r w:rsidRPr="47C47436" w:rsidR="00D9265A">
        <w:rPr>
          <w:rFonts w:ascii="Arial" w:hAnsi="Arial" w:cs="Arial"/>
          <w:color w:val="000000" w:themeColor="text1" w:themeTint="FF" w:themeShade="FF"/>
          <w:sz w:val="20"/>
          <w:szCs w:val="20"/>
        </w:rPr>
        <w:t>additional</w:t>
      </w:r>
      <w:r w:rsidRPr="47C47436" w:rsidR="00D9265A">
        <w:rPr>
          <w:rFonts w:ascii="Arial" w:hAnsi="Arial" w:cs="Arial"/>
          <w:color w:val="000000" w:themeColor="text1" w:themeTint="FF" w:themeShade="FF"/>
          <w:sz w:val="20"/>
          <w:szCs w:val="20"/>
        </w:rPr>
        <w:t xml:space="preserve"> CenturyLink courses by clicking on </w:t>
      </w:r>
      <w:bookmarkStart w:name="contact" w:id="9"/>
      <w:bookmarkEnd w:id="9"/>
      <w:r w:rsidRPr="47C47436" w:rsidR="02CEACF7">
        <w:rPr>
          <w:rFonts w:ascii="Arial" w:hAnsi="Arial" w:eastAsia="Arial" w:cs="Arial"/>
          <w:b w:val="0"/>
          <w:bCs w:val="0"/>
          <w:i w:val="0"/>
          <w:iCs w:val="0"/>
          <w:caps w:val="0"/>
          <w:smallCaps w:val="0"/>
          <w:strike w:val="1"/>
          <w:noProof w:val="0"/>
          <w:color w:val="FF0000"/>
          <w:sz w:val="20"/>
          <w:szCs w:val="20"/>
          <w:u w:val="none"/>
          <w:lang w:val="en-US"/>
        </w:rPr>
        <w:t xml:space="preserve"> Course</w:t>
      </w:r>
      <w:hyperlink r:id="R00f8ef48319242a3">
        <w:r w:rsidRPr="47C47436" w:rsidR="02CEACF7">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47C47436" w:rsidR="02CEACF7">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47C47436" w:rsidR="02CEACF7">
        <w:rPr>
          <w:rFonts w:ascii="Arial" w:hAnsi="Arial" w:eastAsia="Arial" w:cs="Arial"/>
          <w:b w:val="0"/>
          <w:bCs w:val="0"/>
          <w:i w:val="0"/>
          <w:iCs w:val="0"/>
          <w:caps w:val="0"/>
          <w:smallCaps w:val="0"/>
          <w:noProof w:val="0"/>
          <w:color w:val="000000" w:themeColor="text1" w:themeTint="FF" w:themeShade="FF"/>
          <w:sz w:val="20"/>
          <w:szCs w:val="20"/>
          <w:lang w:val="en-US"/>
        </w:rPr>
        <w:t>.</w:t>
      </w:r>
    </w:p>
    <w:p w:rsidR="00D9265A" w:rsidP="00D9265A" w:rsidRDefault="00D9265A" w14:paraId="107CA6BB"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Contacts</w:t>
      </w:r>
    </w:p>
    <w:p w:rsidR="00D9265A" w:rsidP="00D9265A" w:rsidRDefault="00D9265A" w14:paraId="191506A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CenturyLink contact information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27">
        <w:r>
          <w:rPr>
            <w:rStyle w:val="Hyperlink"/>
            <w:rFonts w:ascii="Arial" w:hAnsi="Arial" w:cs="Arial"/>
            <w:color w:val="006BBD"/>
            <w:sz w:val="20"/>
            <w:szCs w:val="20"/>
          </w:rPr>
          <w:t>Wholesale Customer Contacts</w:t>
        </w:r>
      </w:hyperlink>
      <w:r>
        <w:rPr>
          <w:rFonts w:ascii="Arial" w:hAnsi="Arial" w:cs="Arial"/>
          <w:color w:val="000000"/>
          <w:sz w:val="20"/>
          <w:szCs w:val="20"/>
        </w:rPr>
        <w:t>.</w:t>
      </w:r>
    </w:p>
    <w:p w:rsidR="00D9265A" w:rsidP="00D9265A" w:rsidRDefault="00D9265A" w14:paraId="56AD5A1C"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Frequently Asked Questions</w:t>
      </w:r>
    </w:p>
    <w:p w:rsidR="00D9265A" w:rsidP="00D9265A" w:rsidRDefault="00D9265A" w14:paraId="5366C06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section is currently being compiled based on your feedback.</w:t>
      </w:r>
    </w:p>
    <w:p w:rsidR="00D9265A" w:rsidP="00D9265A" w:rsidRDefault="00D9265A" w14:paraId="27F046A0" w14:textId="77777777">
      <w:pPr>
        <w:rPr>
          <w:rFonts w:ascii="Times New Roman" w:hAnsi="Times New Roman" w:cs="Times New Roman"/>
          <w:sz w:val="24"/>
          <w:szCs w:val="24"/>
        </w:rPr>
      </w:pPr>
      <w:r>
        <w:rPr>
          <w:rFonts w:ascii="Arial" w:hAnsi="Arial" w:cs="Arial"/>
          <w:color w:val="000000"/>
          <w:sz w:val="20"/>
          <w:szCs w:val="20"/>
        </w:rPr>
        <w:br/>
      </w:r>
    </w:p>
    <w:p w:rsidR="00D9265A" w:rsidP="00D9265A" w:rsidRDefault="00D9265A" w14:paraId="47D230BB"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January 30, 2017</w:t>
      </w:r>
    </w:p>
    <w:p w:rsidR="00D9265A" w:rsidP="5B034611" w:rsidRDefault="00D9265A" w14:paraId="65A45025" w14:textId="722F3454">
      <w:pPr>
        <w:pStyle w:val="NormalWeb"/>
        <w:shd w:val="clear" w:color="auto" w:fill="FFFFFF" w:themeFill="background1"/>
        <w:spacing w:before="0" w:beforeAutospacing="off" w:after="0" w:afterAutospacing="off"/>
        <w:rPr>
          <w:rFonts w:ascii="Arial" w:hAnsi="Arial" w:cs="Arial"/>
          <w:color w:val="000000"/>
          <w:sz w:val="20"/>
          <w:szCs w:val="20"/>
        </w:rPr>
      </w:pPr>
      <w:r w:rsidRPr="5B034611" w:rsidR="00D9265A">
        <w:rPr>
          <w:rStyle w:val="Strong"/>
          <w:rFonts w:ascii="Arial" w:hAnsi="Arial" w:cs="Arial"/>
          <w:color w:val="000000" w:themeColor="text1" w:themeTint="FF" w:themeShade="FF"/>
          <w:sz w:val="20"/>
          <w:szCs w:val="20"/>
        </w:rPr>
        <w:t>Last Reviewed:</w:t>
      </w:r>
      <w:r w:rsidRPr="5B034611" w:rsidR="00D9265A">
        <w:rPr>
          <w:rFonts w:ascii="Arial" w:hAnsi="Arial" w:cs="Arial"/>
          <w:color w:val="000000" w:themeColor="text1" w:themeTint="FF" w:themeShade="FF"/>
          <w:sz w:val="20"/>
          <w:szCs w:val="20"/>
        </w:rPr>
        <w:t> </w:t>
      </w:r>
      <w:r w:rsidRPr="5B034611" w:rsidR="07A65AFA">
        <w:rPr>
          <w:rFonts w:ascii="Arial" w:hAnsi="Arial" w:cs="Arial"/>
          <w:color w:val="000000" w:themeColor="text1" w:themeTint="FF" w:themeShade="FF"/>
          <w:sz w:val="20"/>
          <w:szCs w:val="20"/>
        </w:rPr>
        <w:t>March 1, 2024</w:t>
      </w:r>
    </w:p>
    <w:p w:rsidR="00D9265A" w:rsidRDefault="00D9265A" w14:paraId="3EDC24C4" w14:textId="77777777"/>
    <w:sectPr w:rsidR="00D9265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iLirKYBV" int2:invalidationBookmarkName="" int2:hashCode="3HxDz/pC6nb6oo" int2:id="kiRDxuej">
      <int2:state int2:type="AugLoop_Text_Critique" int2:value="Rejected"/>
    </int2:bookmark>
    <int2:bookmark int2:bookmarkName="_Int_BQ2ooUqy" int2:invalidationBookmarkName="" int2:hashCode="3aTI/wWkb3QKEC" int2:id="BDutgdVU">
      <int2:state int2:type="AugLoop_Text_Critique" int2:value="Rejected"/>
    </int2:bookmark>
    <int2:bookmark int2:bookmarkName="_Int_Jo86jJtD" int2:invalidationBookmarkName="" int2:hashCode="fK+msejWb3lunZ" int2:id="4HDYDYS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182D"/>
    <w:multiLevelType w:val="multilevel"/>
    <w:tmpl w:val="5DCE0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7BF00D8"/>
    <w:multiLevelType w:val="multilevel"/>
    <w:tmpl w:val="F470E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9C57FA"/>
    <w:multiLevelType w:val="multilevel"/>
    <w:tmpl w:val="97D66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8EB2A69"/>
    <w:multiLevelType w:val="multilevel"/>
    <w:tmpl w:val="5DE47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BC14D2C"/>
    <w:multiLevelType w:val="multilevel"/>
    <w:tmpl w:val="CE0AF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4795267"/>
    <w:multiLevelType w:val="multilevel"/>
    <w:tmpl w:val="093CA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9B73472"/>
    <w:multiLevelType w:val="multilevel"/>
    <w:tmpl w:val="89562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EFF40FE"/>
    <w:multiLevelType w:val="multilevel"/>
    <w:tmpl w:val="2A1CC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F3263F6"/>
    <w:multiLevelType w:val="multilevel"/>
    <w:tmpl w:val="2DEE5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4048407">
    <w:abstractNumId w:val="3"/>
  </w:num>
  <w:num w:numId="2" w16cid:durableId="1939829655">
    <w:abstractNumId w:val="6"/>
  </w:num>
  <w:num w:numId="3" w16cid:durableId="623779848">
    <w:abstractNumId w:val="1"/>
  </w:num>
  <w:num w:numId="4" w16cid:durableId="832725340">
    <w:abstractNumId w:val="7"/>
  </w:num>
  <w:num w:numId="5" w16cid:durableId="308365559">
    <w:abstractNumId w:val="4"/>
  </w:num>
  <w:num w:numId="6" w16cid:durableId="1275019372">
    <w:abstractNumId w:val="5"/>
  </w:num>
  <w:num w:numId="7" w16cid:durableId="1468281893">
    <w:abstractNumId w:val="0"/>
  </w:num>
  <w:num w:numId="8" w16cid:durableId="1529023933">
    <w:abstractNumId w:val="2"/>
  </w:num>
  <w:num w:numId="9" w16cid:durableId="82216544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5A"/>
    <w:rsid w:val="002750C6"/>
    <w:rsid w:val="002E325B"/>
    <w:rsid w:val="0063106B"/>
    <w:rsid w:val="00AA7524"/>
    <w:rsid w:val="00AB3C54"/>
    <w:rsid w:val="00D9265A"/>
    <w:rsid w:val="02CEACF7"/>
    <w:rsid w:val="07A65AFA"/>
    <w:rsid w:val="0D8C43EB"/>
    <w:rsid w:val="1048800A"/>
    <w:rsid w:val="2FF2E92C"/>
    <w:rsid w:val="3D156704"/>
    <w:rsid w:val="47C47436"/>
    <w:rsid w:val="4F680C2C"/>
    <w:rsid w:val="5B034611"/>
    <w:rsid w:val="5D156B21"/>
    <w:rsid w:val="5ED60B95"/>
    <w:rsid w:val="63CBE4DF"/>
    <w:rsid w:val="69EDAF10"/>
    <w:rsid w:val="7158A012"/>
    <w:rsid w:val="71C943AD"/>
    <w:rsid w:val="748AC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E94A"/>
  <w15:chartTrackingRefBased/>
  <w15:docId w15:val="{33F363FB-86A9-4E65-A0F3-BA7D615DB3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9265A"/>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D9265A"/>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D9265A"/>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9265A"/>
    <w:rPr>
      <w:color w:val="0563C1" w:themeColor="hyperlink"/>
      <w:u w:val="single"/>
    </w:rPr>
  </w:style>
  <w:style w:type="character" w:styleId="UnresolvedMention">
    <w:name w:val="Unresolved Mention"/>
    <w:basedOn w:val="DefaultParagraphFont"/>
    <w:uiPriority w:val="99"/>
    <w:semiHidden/>
    <w:unhideWhenUsed/>
    <w:rsid w:val="00D9265A"/>
    <w:rPr>
      <w:color w:val="605E5C"/>
      <w:shd w:val="clear" w:color="auto" w:fill="E1DFDD"/>
    </w:rPr>
  </w:style>
  <w:style w:type="character" w:styleId="Heading2Char" w:customStyle="1">
    <w:name w:val="Heading 2 Char"/>
    <w:basedOn w:val="DefaultParagraphFont"/>
    <w:link w:val="Heading2"/>
    <w:uiPriority w:val="9"/>
    <w:rsid w:val="00D9265A"/>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D9265A"/>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D9265A"/>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D9265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D92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territory.html" TargetMode="External" Id="rId8" /><Relationship Type="http://schemas.openxmlformats.org/officeDocument/2006/relationships/hyperlink" Target="https://www.centurylink.com/wholesale/clecs/negotiations.html" TargetMode="External" Id="rId13" /><Relationship Type="http://schemas.openxmlformats.org/officeDocument/2006/relationships/settings" Target="settings.xml" Id="rId3" /><Relationship Type="http://schemas.openxmlformats.org/officeDocument/2006/relationships/hyperlink" Target="https://www.centurylink.com/wholesale/clecs/provisioning.html" TargetMode="External" Id="rId21" /><Relationship Type="http://schemas.openxmlformats.org/officeDocument/2006/relationships/hyperlink" Target="https://www.centurylink.com/wholesale/pcat/territory.html" TargetMode="External" Id="rId7" /><Relationship Type="http://schemas.openxmlformats.org/officeDocument/2006/relationships/hyperlink" Target="https://www.centurylink.com/wholesale/clecs/clec_index.html" TargetMode="External" Id="rId12" /><Relationship Type="http://schemas.openxmlformats.org/officeDocument/2006/relationships/hyperlink" Target="https://www.centurylink.com/wholesale/clecs/accountmanagers.html" TargetMode="External" Id="rId17" /><Relationship Type="http://schemas.openxmlformats.org/officeDocument/2006/relationships/styles" Target="styles.xml" Id="rId2" /><Relationship Type="http://schemas.openxmlformats.org/officeDocument/2006/relationships/hyperlink" Target="https://www.centurylink.com/wholesale/clecs/accountmanagers.html" TargetMode="External" Id="rId16" /><Relationship Type="http://schemas.openxmlformats.org/officeDocument/2006/relationships/hyperlink" Target="https://www.centurylink.com/wholesale/forms/asr.html"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cabs.html" TargetMode="External" Id="rId24" /><Relationship Type="http://schemas.openxmlformats.org/officeDocument/2006/relationships/customXml" Target="../customXml/item3.xml" Id="rId32" /><Relationship Type="http://schemas.openxmlformats.org/officeDocument/2006/relationships/hyperlink" Target="https://www.centurylink.com/wholesale/downloads/2017/170130/HL_High_Voltage_Protection_V8.doc" TargetMode="External" Id="rId5" /><Relationship Type="http://schemas.openxmlformats.org/officeDocument/2006/relationships/hyperlink" Target="https://www.centurylink.com/wholesale/pcat/wireless/forms/designinfopowerindchannel.html" TargetMode="External" Id="rId15" /><Relationship Type="http://schemas.openxmlformats.org/officeDocument/2006/relationships/fontTable" Target="fontTable.xml" Id="rId28" /><Relationship Type="http://schemas.openxmlformats.org/officeDocument/2006/relationships/hyperlink" Target="http://centurylink.com/techpub/77321/77321.pdf" TargetMode="External" Id="rId10" /><Relationship Type="http://schemas.openxmlformats.org/officeDocument/2006/relationships/customXml" Target="../customXml/item2.xml" Id="rId31" /><Relationship Type="http://schemas.openxmlformats.org/officeDocument/2006/relationships/webSettings" Target="webSettings.xml" Id="rId4" /><Relationship Type="http://schemas.openxmlformats.org/officeDocument/2006/relationships/hyperlink" Target="https://www.centurylink.com/wholesale/pcat/hivoltprotect.html" TargetMode="External" Id="rId9" /><Relationship Type="http://schemas.openxmlformats.org/officeDocument/2006/relationships/hyperlink" Target="https://www.centurylink.com/wholesale/pcat/wireless/forms/designinfopowerindchannel.html" TargetMode="External" Id="rId14" /><Relationship Type="http://schemas.openxmlformats.org/officeDocument/2006/relationships/hyperlink" Target="https://www.centurylink.com/wholesale/clecs/maintenance.html" TargetMode="External" Id="rId22" /><Relationship Type="http://schemas.openxmlformats.org/officeDocument/2006/relationships/hyperlink" Target="https://www.centurylink.com/wholesale/clecs/customercontacts.html" TargetMode="External" Id="rId27" /><Relationship Type="http://schemas.openxmlformats.org/officeDocument/2006/relationships/customXml" Target="../customXml/item1.xml" Id="rId30" /><Relationship Type="http://schemas.openxmlformats.org/officeDocument/2006/relationships/hyperlink" Target="https://www.centurylink.com/aboutus/legal/tariff-library.html" TargetMode="External" Id="R446516a241e64ccf" /><Relationship Type="http://schemas.openxmlformats.org/officeDocument/2006/relationships/hyperlink" Target="https://ease.lumen.com" TargetMode="External" Id="Rb4ae859ddb674269" /><Relationship Type="http://schemas.openxmlformats.org/officeDocument/2006/relationships/hyperlink" Target="https://ease-lsr.lumen.com/" TargetMode="External" Id="R154b28156fa44763" /><Relationship Type="http://schemas.microsoft.com/office/2020/10/relationships/intelligence" Target="intelligence2.xml" Id="R0b904a12702041c8" /><Relationship Type="http://schemas.openxmlformats.org/officeDocument/2006/relationships/hyperlink" Target="https://www.centurylink.com/wholesale/training/wbt_desc_lq101.html" TargetMode="External" Id="R7fdc34bad9e841f1" /><Relationship Type="http://schemas.openxmlformats.org/officeDocument/2006/relationships/hyperlink" Target="https://www.centurylink.com/wholesale/training/wbt_desc_lq101.html" TargetMode="External" Id="Re5508bd5e1f349ff" /><Relationship Type="http://schemas.openxmlformats.org/officeDocument/2006/relationships/hyperlink" Target="https://www.centurylink.com/wholesale/training/coursecatalog.html" TargetMode="External" Id="R00f8ef48319242a3" /><Relationship Type="http://schemas.openxmlformats.org/officeDocument/2006/relationships/hyperlink" Target="https://www.centurylink.com/wholesale/clecs/cris.html" TargetMode="External" Id="Re750d07347464508" /><Relationship Type="http://schemas.openxmlformats.org/officeDocument/2006/relationships/hyperlink" Target="https://www.centurylink.com/wholesale/clecs/ensemble.html" TargetMode="External" Id="R345b3f66b76d46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8C53ACF6-A078-4228-8407-9982BAF5E977}"/>
</file>

<file path=customXml/itemProps2.xml><?xml version="1.0" encoding="utf-8"?>
<ds:datastoreItem xmlns:ds="http://schemas.openxmlformats.org/officeDocument/2006/customXml" ds:itemID="{29C1A7C3-553E-4C14-BFE9-18DE6A3E4921}"/>
</file>

<file path=customXml/itemProps3.xml><?xml version="1.0" encoding="utf-8"?>
<ds:datastoreItem xmlns:ds="http://schemas.openxmlformats.org/officeDocument/2006/customXml" ds:itemID="{35B688D0-F16F-4AE9-A08B-82EFC8D7123F}"/>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6</cp:revision>
  <dcterms:created xsi:type="dcterms:W3CDTF">2024-01-31T16:12:00Z</dcterms:created>
  <dcterms:modified xsi:type="dcterms:W3CDTF">2024-04-11T18:51:56Z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